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57AA" w14:textId="71B971DC" w:rsidR="00942260" w:rsidRPr="00C47D7C" w:rsidRDefault="00942260" w:rsidP="00942260">
      <w:pPr>
        <w:rPr>
          <w:rFonts w:ascii="Arial" w:hAnsi="Arial" w:cs="Arial"/>
          <w:b/>
          <w:bCs/>
        </w:rPr>
      </w:pPr>
      <w:r w:rsidRPr="00C47D7C">
        <w:rPr>
          <w:rFonts w:ascii="Arial" w:hAnsi="Arial" w:cs="Arial"/>
          <w:b/>
          <w:bCs/>
        </w:rPr>
        <w:t>HIPAA Compliance Checklist for AI and Healthcare Technology Systems</w:t>
      </w:r>
    </w:p>
    <w:p w14:paraId="392D31E3" w14:textId="77777777" w:rsidR="00C47D7C" w:rsidRPr="00942260" w:rsidRDefault="00C47D7C" w:rsidP="00942260">
      <w:pPr>
        <w:rPr>
          <w:rFonts w:ascii="Arial" w:hAnsi="Arial" w:cs="Arial"/>
          <w:b/>
          <w:bCs/>
          <w:sz w:val="22"/>
          <w:szCs w:val="22"/>
        </w:rPr>
      </w:pPr>
    </w:p>
    <w:p w14:paraId="1F36FB30" w14:textId="7C1FA3CA"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1. Risk Assessment</w:t>
      </w:r>
    </w:p>
    <w:p w14:paraId="1B4F1F9B"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 Conduct a comprehensive risk assessment to identify potential vulnerabilities in the system.</w:t>
      </w:r>
    </w:p>
    <w:p w14:paraId="457C3581"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 Document the risk assessment findings and mitigation strategies.</w:t>
      </w:r>
    </w:p>
    <w:p w14:paraId="491D788B"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 Update the risk assessment periodically and after any significant system changes.</w:t>
      </w:r>
    </w:p>
    <w:p w14:paraId="0AA64ECE" w14:textId="2A5D0129"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2. Data Management</w:t>
      </w:r>
    </w:p>
    <w:p w14:paraId="2929F44D"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 Ensure all Protected Health Information (PHI) is identified and categorized.</w:t>
      </w:r>
    </w:p>
    <w:p w14:paraId="498E020B"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5. Implement data encryption at rest and in transit.</w:t>
      </w:r>
    </w:p>
    <w:p w14:paraId="67F13231"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6. Regularly audit access logs for PHI.</w:t>
      </w:r>
    </w:p>
    <w:p w14:paraId="2B1F659B" w14:textId="4D023931"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3. Access Controls</w:t>
      </w:r>
    </w:p>
    <w:p w14:paraId="6E89C30C"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7. Establish role-based access control (RBAC) mechanisms.</w:t>
      </w:r>
    </w:p>
    <w:p w14:paraId="360C9819"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8. Require multi-factor authentication (MFA) for accessing sensitive systems.</w:t>
      </w:r>
    </w:p>
    <w:p w14:paraId="1C33D0C6"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9. Implement session time-out and auto-lock features for systems.</w:t>
      </w:r>
    </w:p>
    <w:p w14:paraId="0ADCFFAB" w14:textId="6958E896"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4. Training and Awareness</w:t>
      </w:r>
    </w:p>
    <w:p w14:paraId="5B48FE63"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10. Conduct regular employee training on HIPAA compliance and data privacy.</w:t>
      </w:r>
    </w:p>
    <w:p w14:paraId="1A540FCE"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11. Ensure that all employees understand how to handle PHI securely.</w:t>
      </w:r>
    </w:p>
    <w:p w14:paraId="25EF24A2"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12. Document training sessions and attendance records.</w:t>
      </w:r>
    </w:p>
    <w:p w14:paraId="625D29AD" w14:textId="12DFAFE4"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5. Business Associate Agreements (BAAs)</w:t>
      </w:r>
    </w:p>
    <w:p w14:paraId="2B14AEFC"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13. Ensure that BAAs are in place with all third-party vendors processing PHI.</w:t>
      </w:r>
    </w:p>
    <w:p w14:paraId="5389CAEB"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14. Review BAAs for compliance obligations and data handling practices.</w:t>
      </w:r>
    </w:p>
    <w:p w14:paraId="683A7D40"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15. Maintain an updated list of all business associates.</w:t>
      </w:r>
    </w:p>
    <w:p w14:paraId="26E3DEF6" w14:textId="2A6B78CC"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6. Incident Response Plan</w:t>
      </w:r>
    </w:p>
    <w:p w14:paraId="0EED4DA0"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16. Develop and document an incident response plan tailored to PHI breaches.</w:t>
      </w:r>
    </w:p>
    <w:p w14:paraId="40C7A6D3"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17. Test the incident response plan regularly and update it as necessary.</w:t>
      </w:r>
    </w:p>
    <w:p w14:paraId="4657D33B"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18. Provide training to staff on incident reporting procedures.</w:t>
      </w:r>
    </w:p>
    <w:p w14:paraId="2AEFCB03" w14:textId="77777777" w:rsidR="00942260" w:rsidRDefault="00942260" w:rsidP="00942260">
      <w:pPr>
        <w:rPr>
          <w:rFonts w:ascii="Arial" w:hAnsi="Arial" w:cs="Arial"/>
          <w:sz w:val="22"/>
          <w:szCs w:val="22"/>
        </w:rPr>
      </w:pPr>
      <w:r w:rsidRPr="00942260">
        <w:rPr>
          <w:rFonts w:ascii="Arial" w:hAnsi="Arial" w:cs="Arial"/>
          <w:sz w:val="22"/>
          <w:szCs w:val="22"/>
        </w:rPr>
        <w:t xml:space="preserve"> </w:t>
      </w:r>
    </w:p>
    <w:p w14:paraId="1A9270BC" w14:textId="77777777" w:rsidR="00942260" w:rsidRDefault="00942260">
      <w:pPr>
        <w:rPr>
          <w:rFonts w:ascii="Arial" w:hAnsi="Arial" w:cs="Arial"/>
          <w:sz w:val="22"/>
          <w:szCs w:val="22"/>
        </w:rPr>
      </w:pPr>
      <w:r>
        <w:rPr>
          <w:rFonts w:ascii="Arial" w:hAnsi="Arial" w:cs="Arial"/>
          <w:sz w:val="22"/>
          <w:szCs w:val="22"/>
        </w:rPr>
        <w:br w:type="page"/>
      </w:r>
    </w:p>
    <w:p w14:paraId="324F4B76" w14:textId="4C4BFF6A" w:rsidR="00942260" w:rsidRPr="00942260" w:rsidRDefault="00942260" w:rsidP="00942260">
      <w:pPr>
        <w:rPr>
          <w:rFonts w:ascii="Arial" w:hAnsi="Arial" w:cs="Arial"/>
          <w:b/>
          <w:bCs/>
          <w:sz w:val="22"/>
          <w:szCs w:val="22"/>
        </w:rPr>
      </w:pPr>
      <w:r w:rsidRPr="00942260">
        <w:rPr>
          <w:rFonts w:ascii="Arial" w:hAnsi="Arial" w:cs="Arial"/>
          <w:b/>
          <w:bCs/>
          <w:sz w:val="22"/>
          <w:szCs w:val="22"/>
        </w:rPr>
        <w:lastRenderedPageBreak/>
        <w:t>7. System Security</w:t>
      </w:r>
    </w:p>
    <w:p w14:paraId="270EBD38"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19. Implement robust cybersecurity measures (firewalls, anti-virus, intrusion detection).</w:t>
      </w:r>
    </w:p>
    <w:p w14:paraId="7B7DCE87"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20. Keep software, firmware, and systems updated and patched.</w:t>
      </w:r>
    </w:p>
    <w:p w14:paraId="2469124C"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21. Conduct penetration testing and vulnerability assessments.</w:t>
      </w:r>
    </w:p>
    <w:p w14:paraId="6DEFADD2" w14:textId="198A762F"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8. Data Minimization</w:t>
      </w:r>
    </w:p>
    <w:p w14:paraId="1EEC44AE"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22. Implement policies to ensure only necessary PHI is collected and processed.</w:t>
      </w:r>
    </w:p>
    <w:p w14:paraId="6913968F"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23. Regularly review and purge unnecessary PHI from the system.</w:t>
      </w:r>
    </w:p>
    <w:p w14:paraId="2F83D380" w14:textId="6FE4B679"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9. Physical Security</w:t>
      </w:r>
    </w:p>
    <w:p w14:paraId="6F55B063"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24. Secure physical access to servers and workstations containing PHI.</w:t>
      </w:r>
    </w:p>
    <w:p w14:paraId="455CAC77"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25. Implement surveillance (CCTV) and access controls in server rooms.</w:t>
      </w:r>
    </w:p>
    <w:p w14:paraId="0F513DA8"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26. Ensure that backup tapes and legacy systems are securely stored.</w:t>
      </w:r>
    </w:p>
    <w:p w14:paraId="3AB70324" w14:textId="34393226" w:rsidR="00942260" w:rsidRPr="00942260" w:rsidRDefault="00942260" w:rsidP="00942260">
      <w:pPr>
        <w:rPr>
          <w:rFonts w:ascii="Arial" w:hAnsi="Arial" w:cs="Arial"/>
          <w:b/>
          <w:bCs/>
          <w:sz w:val="22"/>
          <w:szCs w:val="22"/>
        </w:rPr>
      </w:pPr>
      <w:r w:rsidRPr="00942260">
        <w:rPr>
          <w:rFonts w:ascii="Arial" w:hAnsi="Arial" w:cs="Arial"/>
          <w:sz w:val="22"/>
          <w:szCs w:val="22"/>
        </w:rPr>
        <w:t xml:space="preserve"> </w:t>
      </w:r>
      <w:r w:rsidRPr="00942260">
        <w:rPr>
          <w:rFonts w:ascii="Arial" w:hAnsi="Arial" w:cs="Arial"/>
          <w:b/>
          <w:bCs/>
          <w:sz w:val="22"/>
          <w:szCs w:val="22"/>
        </w:rPr>
        <w:t>10. Policy and Procedures</w:t>
      </w:r>
    </w:p>
    <w:p w14:paraId="1A003CE5"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27. Develop comprehensive HIPAA compliance policies.</w:t>
      </w:r>
    </w:p>
    <w:p w14:paraId="162CD53E"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28. Document procedures for handling PHI and data breaches.</w:t>
      </w:r>
    </w:p>
    <w:p w14:paraId="50FD59E7"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29. Establish guidelines for internal audits of HIPAA compliance.</w:t>
      </w:r>
    </w:p>
    <w:p w14:paraId="226EDD78" w14:textId="1145AEC1"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11. Use of AI Technology</w:t>
      </w:r>
    </w:p>
    <w:p w14:paraId="12330350"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30. Ensure AI algorithms used are explainable and interpretable.</w:t>
      </w:r>
    </w:p>
    <w:p w14:paraId="4A12C8D0"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31. Establish a monitoring system for AI to evaluate compliance and performance.</w:t>
      </w:r>
    </w:p>
    <w:p w14:paraId="4DAEA89B" w14:textId="77777777" w:rsidR="00942260" w:rsidRPr="00942260" w:rsidRDefault="00942260" w:rsidP="00942260">
      <w:pPr>
        <w:ind w:left="720"/>
        <w:rPr>
          <w:rFonts w:ascii="Arial" w:hAnsi="Arial" w:cs="Arial"/>
          <w:sz w:val="22"/>
          <w:szCs w:val="22"/>
        </w:rPr>
      </w:pPr>
      <w:r w:rsidRPr="00942260">
        <w:rPr>
          <w:rFonts w:ascii="Arial" w:hAnsi="Arial" w:cs="Arial"/>
          <w:i/>
          <w:iCs/>
          <w:sz w:val="22"/>
          <w:szCs w:val="22"/>
        </w:rPr>
        <w:t>32. Provide transparency about AI's data usage and decision-making processes</w:t>
      </w:r>
      <w:r w:rsidRPr="00942260">
        <w:rPr>
          <w:rFonts w:ascii="Arial" w:hAnsi="Arial" w:cs="Arial"/>
          <w:sz w:val="22"/>
          <w:szCs w:val="22"/>
        </w:rPr>
        <w:t>.</w:t>
      </w:r>
    </w:p>
    <w:p w14:paraId="4087225E" w14:textId="394DD883" w:rsidR="00942260" w:rsidRPr="00942260" w:rsidRDefault="00942260" w:rsidP="00942260">
      <w:pPr>
        <w:rPr>
          <w:rFonts w:ascii="Arial" w:hAnsi="Arial" w:cs="Arial"/>
          <w:b/>
          <w:bCs/>
          <w:sz w:val="22"/>
          <w:szCs w:val="22"/>
        </w:rPr>
      </w:pPr>
      <w:r w:rsidRPr="00942260">
        <w:rPr>
          <w:rFonts w:ascii="Arial" w:hAnsi="Arial" w:cs="Arial"/>
          <w:sz w:val="22"/>
          <w:szCs w:val="22"/>
        </w:rPr>
        <w:t xml:space="preserve"> </w:t>
      </w:r>
      <w:r w:rsidRPr="00942260">
        <w:rPr>
          <w:rFonts w:ascii="Arial" w:hAnsi="Arial" w:cs="Arial"/>
          <w:b/>
          <w:bCs/>
          <w:sz w:val="22"/>
          <w:szCs w:val="22"/>
        </w:rPr>
        <w:t>12. Data Sharing and Communication</w:t>
      </w:r>
    </w:p>
    <w:p w14:paraId="1B3E44BF"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33. Securely transmit PHI using approved encryption methods.</w:t>
      </w:r>
    </w:p>
    <w:p w14:paraId="3EE009A3"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34. Limit PHI sharing to authorized recipients only.</w:t>
      </w:r>
    </w:p>
    <w:p w14:paraId="33DE792C"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35. Use anonymization techniques where feasible for research or analytics.</w:t>
      </w:r>
    </w:p>
    <w:p w14:paraId="78DB6758" w14:textId="7A77EE7B" w:rsidR="00942260" w:rsidRPr="00942260" w:rsidRDefault="00942260" w:rsidP="00942260">
      <w:pPr>
        <w:rPr>
          <w:rFonts w:ascii="Arial" w:hAnsi="Arial" w:cs="Arial"/>
          <w:b/>
          <w:bCs/>
          <w:sz w:val="22"/>
          <w:szCs w:val="22"/>
        </w:rPr>
      </w:pPr>
      <w:r w:rsidRPr="00942260">
        <w:rPr>
          <w:rFonts w:ascii="Arial" w:hAnsi="Arial" w:cs="Arial"/>
          <w:sz w:val="22"/>
          <w:szCs w:val="22"/>
        </w:rPr>
        <w:t xml:space="preserve"> </w:t>
      </w:r>
      <w:r w:rsidRPr="00942260">
        <w:rPr>
          <w:rFonts w:ascii="Arial" w:hAnsi="Arial" w:cs="Arial"/>
          <w:b/>
          <w:bCs/>
          <w:sz w:val="22"/>
          <w:szCs w:val="22"/>
        </w:rPr>
        <w:t>13. Patient Rights</w:t>
      </w:r>
    </w:p>
    <w:p w14:paraId="14189D6C"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36. Implement processes for patients to access their records and request corrections.</w:t>
      </w:r>
    </w:p>
    <w:p w14:paraId="0F5BF4DB"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37. Educate patients about their rights under HIPAA.</w:t>
      </w:r>
    </w:p>
    <w:p w14:paraId="55CD2703"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38. Ensure patients are informed of the data sharing policies in place.</w:t>
      </w:r>
    </w:p>
    <w:p w14:paraId="304D2F99" w14:textId="77777777" w:rsidR="00942260" w:rsidRDefault="00942260" w:rsidP="00942260">
      <w:pPr>
        <w:rPr>
          <w:rFonts w:ascii="Arial" w:hAnsi="Arial" w:cs="Arial"/>
          <w:sz w:val="22"/>
          <w:szCs w:val="22"/>
        </w:rPr>
      </w:pPr>
      <w:r w:rsidRPr="00942260">
        <w:rPr>
          <w:rFonts w:ascii="Arial" w:hAnsi="Arial" w:cs="Arial"/>
          <w:sz w:val="22"/>
          <w:szCs w:val="22"/>
        </w:rPr>
        <w:t xml:space="preserve"> </w:t>
      </w:r>
    </w:p>
    <w:p w14:paraId="3BDCE1FB" w14:textId="77777777" w:rsidR="00942260" w:rsidRDefault="00942260">
      <w:pPr>
        <w:rPr>
          <w:rFonts w:ascii="Arial" w:hAnsi="Arial" w:cs="Arial"/>
          <w:sz w:val="22"/>
          <w:szCs w:val="22"/>
        </w:rPr>
      </w:pPr>
      <w:r>
        <w:rPr>
          <w:rFonts w:ascii="Arial" w:hAnsi="Arial" w:cs="Arial"/>
          <w:sz w:val="22"/>
          <w:szCs w:val="22"/>
        </w:rPr>
        <w:br w:type="page"/>
      </w:r>
    </w:p>
    <w:p w14:paraId="3A5E736F" w14:textId="1C27BF26" w:rsidR="00942260" w:rsidRPr="00942260" w:rsidRDefault="00942260" w:rsidP="00942260">
      <w:pPr>
        <w:rPr>
          <w:rFonts w:ascii="Arial" w:hAnsi="Arial" w:cs="Arial"/>
          <w:b/>
          <w:bCs/>
          <w:sz w:val="22"/>
          <w:szCs w:val="22"/>
        </w:rPr>
      </w:pPr>
      <w:r w:rsidRPr="00942260">
        <w:rPr>
          <w:rFonts w:ascii="Arial" w:hAnsi="Arial" w:cs="Arial"/>
          <w:b/>
          <w:bCs/>
          <w:sz w:val="22"/>
          <w:szCs w:val="22"/>
        </w:rPr>
        <w:lastRenderedPageBreak/>
        <w:t>14. Audit and Monitoring</w:t>
      </w:r>
    </w:p>
    <w:p w14:paraId="547F3EE4"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39. Conduct regular audits of system access and data processing activities.</w:t>
      </w:r>
    </w:p>
    <w:p w14:paraId="309C9B4D"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40. Use monitoring tools to detect unauthorized access or anomalies.</w:t>
      </w:r>
    </w:p>
    <w:p w14:paraId="02FEB716"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41. Review and act on audit findings to strengthen compliance efforts.</w:t>
      </w:r>
    </w:p>
    <w:p w14:paraId="00C27FDE" w14:textId="63A59775" w:rsidR="00942260" w:rsidRPr="00942260" w:rsidRDefault="00942260" w:rsidP="00942260">
      <w:pPr>
        <w:rPr>
          <w:rFonts w:ascii="Arial" w:hAnsi="Arial" w:cs="Arial"/>
          <w:b/>
          <w:bCs/>
          <w:sz w:val="22"/>
          <w:szCs w:val="22"/>
        </w:rPr>
      </w:pPr>
      <w:r w:rsidRPr="00942260">
        <w:rPr>
          <w:rFonts w:ascii="Arial" w:hAnsi="Arial" w:cs="Arial"/>
          <w:sz w:val="22"/>
          <w:szCs w:val="22"/>
        </w:rPr>
        <w:t xml:space="preserve"> </w:t>
      </w:r>
      <w:r w:rsidRPr="00942260">
        <w:rPr>
          <w:rFonts w:ascii="Arial" w:hAnsi="Arial" w:cs="Arial"/>
          <w:b/>
          <w:bCs/>
          <w:sz w:val="22"/>
          <w:szCs w:val="22"/>
        </w:rPr>
        <w:t>15. Continuous Improvement</w:t>
      </w:r>
    </w:p>
    <w:p w14:paraId="40B015F5"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42. Create a feedback loop for identifying HIPAA compliance gaps.</w:t>
      </w:r>
    </w:p>
    <w:p w14:paraId="3E472C38"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43. Regularly revisit and revise HIPAA policies and practices based on new regulations and technological advancements.</w:t>
      </w:r>
    </w:p>
    <w:p w14:paraId="4B782D5F"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44. Encourage a culture of compliance within the organization.</w:t>
      </w:r>
    </w:p>
    <w:p w14:paraId="5C7164DC" w14:textId="62B03F5D" w:rsidR="00942260" w:rsidRPr="00942260" w:rsidRDefault="00942260" w:rsidP="00942260">
      <w:pPr>
        <w:rPr>
          <w:rFonts w:ascii="Arial" w:hAnsi="Arial" w:cs="Arial"/>
          <w:b/>
          <w:bCs/>
          <w:sz w:val="22"/>
          <w:szCs w:val="22"/>
        </w:rPr>
      </w:pPr>
      <w:r w:rsidRPr="00942260">
        <w:rPr>
          <w:rFonts w:ascii="Arial" w:hAnsi="Arial" w:cs="Arial"/>
          <w:sz w:val="22"/>
          <w:szCs w:val="22"/>
        </w:rPr>
        <w:t xml:space="preserve"> </w:t>
      </w:r>
      <w:r w:rsidRPr="00942260">
        <w:rPr>
          <w:rFonts w:ascii="Arial" w:hAnsi="Arial" w:cs="Arial"/>
          <w:b/>
          <w:bCs/>
          <w:sz w:val="22"/>
          <w:szCs w:val="22"/>
        </w:rPr>
        <w:t>16. Documentation</w:t>
      </w:r>
    </w:p>
    <w:p w14:paraId="0537337A"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45. Maintain comprehensive documentation of all compliance efforts and policies.</w:t>
      </w:r>
    </w:p>
    <w:p w14:paraId="31BE83D9"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46. Ensure that all systems' configurations and access controls are thoroughly documented.</w:t>
      </w:r>
    </w:p>
    <w:p w14:paraId="74D4DBF8" w14:textId="1E7BC727" w:rsidR="00942260" w:rsidRPr="00942260" w:rsidRDefault="00942260" w:rsidP="00942260">
      <w:pPr>
        <w:rPr>
          <w:rFonts w:ascii="Arial" w:hAnsi="Arial" w:cs="Arial"/>
          <w:b/>
          <w:bCs/>
          <w:sz w:val="22"/>
          <w:szCs w:val="22"/>
        </w:rPr>
      </w:pPr>
      <w:r w:rsidRPr="00942260">
        <w:rPr>
          <w:rFonts w:ascii="Arial" w:hAnsi="Arial" w:cs="Arial"/>
          <w:b/>
          <w:bCs/>
          <w:sz w:val="22"/>
          <w:szCs w:val="22"/>
        </w:rPr>
        <w:t xml:space="preserve"> 17. Third-party Compliance</w:t>
      </w:r>
    </w:p>
    <w:p w14:paraId="2507A584"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47. Assess the HIPAA compliance of partners and services that handle PHI.</w:t>
      </w:r>
    </w:p>
    <w:p w14:paraId="31658C80"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48. Establish processes for ongoing vendor risk management and compliance checks.</w:t>
      </w:r>
    </w:p>
    <w:p w14:paraId="1FCBD249" w14:textId="0D93DA05" w:rsidR="00942260" w:rsidRPr="00942260" w:rsidRDefault="00942260" w:rsidP="00942260">
      <w:pPr>
        <w:rPr>
          <w:rFonts w:ascii="Arial" w:hAnsi="Arial" w:cs="Arial"/>
          <w:b/>
          <w:bCs/>
          <w:sz w:val="22"/>
          <w:szCs w:val="22"/>
        </w:rPr>
      </w:pPr>
      <w:r w:rsidRPr="00942260">
        <w:rPr>
          <w:rFonts w:ascii="Arial" w:hAnsi="Arial" w:cs="Arial"/>
          <w:sz w:val="22"/>
          <w:szCs w:val="22"/>
        </w:rPr>
        <w:t xml:space="preserve"> </w:t>
      </w:r>
      <w:r w:rsidRPr="00942260">
        <w:rPr>
          <w:rFonts w:ascii="Arial" w:hAnsi="Arial" w:cs="Arial"/>
          <w:b/>
          <w:bCs/>
          <w:sz w:val="22"/>
          <w:szCs w:val="22"/>
        </w:rPr>
        <w:t>18. Legal and Regulatory Updates</w:t>
      </w:r>
    </w:p>
    <w:p w14:paraId="694EEE71"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49. Stay informed about updates in HIPAA regulations and guidelines.</w:t>
      </w:r>
    </w:p>
    <w:p w14:paraId="58E8FE00" w14:textId="77777777" w:rsidR="00942260" w:rsidRPr="00942260" w:rsidRDefault="00942260" w:rsidP="00942260">
      <w:pPr>
        <w:ind w:left="720"/>
        <w:rPr>
          <w:rFonts w:ascii="Arial" w:hAnsi="Arial" w:cs="Arial"/>
          <w:i/>
          <w:iCs/>
          <w:sz w:val="22"/>
          <w:szCs w:val="22"/>
        </w:rPr>
      </w:pPr>
      <w:r w:rsidRPr="00942260">
        <w:rPr>
          <w:rFonts w:ascii="Arial" w:hAnsi="Arial" w:cs="Arial"/>
          <w:i/>
          <w:iCs/>
          <w:sz w:val="22"/>
          <w:szCs w:val="22"/>
        </w:rPr>
        <w:t>50. Consult with legal counsel regularly to ensure compliance initiatives are up to date and effective.</w:t>
      </w:r>
    </w:p>
    <w:p w14:paraId="3ECD30A6" w14:textId="77777777" w:rsidR="00942260" w:rsidRPr="0067683E" w:rsidRDefault="00942260" w:rsidP="00942260">
      <w:pPr>
        <w:rPr>
          <w:rFonts w:ascii="Arial" w:hAnsi="Arial" w:cs="Arial"/>
          <w:b/>
          <w:bCs/>
          <w:sz w:val="22"/>
          <w:szCs w:val="22"/>
        </w:rPr>
      </w:pPr>
      <w:r w:rsidRPr="0067683E">
        <w:rPr>
          <w:rFonts w:ascii="Arial" w:hAnsi="Arial" w:cs="Arial"/>
          <w:b/>
          <w:bCs/>
          <w:sz w:val="22"/>
          <w:szCs w:val="22"/>
        </w:rPr>
        <w:t>Conclusion</w:t>
      </w:r>
    </w:p>
    <w:p w14:paraId="49463E01" w14:textId="5C1F7B61" w:rsidR="00897FC3" w:rsidRDefault="00942260" w:rsidP="00942260">
      <w:pPr>
        <w:rPr>
          <w:rFonts w:ascii="Arial" w:hAnsi="Arial" w:cs="Arial"/>
          <w:sz w:val="22"/>
          <w:szCs w:val="22"/>
        </w:rPr>
      </w:pPr>
      <w:r w:rsidRPr="00942260">
        <w:rPr>
          <w:rFonts w:ascii="Arial" w:hAnsi="Arial" w:cs="Arial"/>
          <w:sz w:val="22"/>
          <w:szCs w:val="22"/>
        </w:rPr>
        <w:t>Following this comprehensive checklist will help ensure that your AI and healthcare technology systems remain compliant with HIPAA requirements, protecting both patient confidentiality and your organization against potential legal ramifications. Regularly review and update these practices to adapt to new challenges and regulations in the healthcare landscape.</w:t>
      </w:r>
    </w:p>
    <w:p w14:paraId="512CE396" w14:textId="08850D36" w:rsidR="00A86200" w:rsidRDefault="00A86200" w:rsidP="00942260">
      <w:pPr>
        <w:rPr>
          <w:rFonts w:ascii="Arial" w:hAnsi="Arial" w:cs="Arial"/>
          <w:sz w:val="22"/>
          <w:szCs w:val="22"/>
        </w:rPr>
      </w:pPr>
      <w:r>
        <w:rPr>
          <w:rFonts w:ascii="Arial" w:hAnsi="Arial" w:cs="Arial"/>
          <w:sz w:val="22"/>
          <w:szCs w:val="22"/>
        </w:rPr>
        <w:t>MDH</w:t>
      </w:r>
    </w:p>
    <w:p w14:paraId="2551E415" w14:textId="77777777" w:rsidR="00A86200" w:rsidRDefault="00A86200" w:rsidP="00942260">
      <w:pPr>
        <w:rPr>
          <w:rFonts w:ascii="Arial" w:hAnsi="Arial" w:cs="Arial"/>
          <w:sz w:val="22"/>
          <w:szCs w:val="22"/>
        </w:rPr>
      </w:pPr>
    </w:p>
    <w:p w14:paraId="2CC4C726" w14:textId="73B267CA" w:rsidR="00A86200" w:rsidRPr="00942260" w:rsidRDefault="00A86200" w:rsidP="00A86200">
      <w:pPr>
        <w:jc w:val="center"/>
        <w:rPr>
          <w:rFonts w:ascii="Arial" w:hAnsi="Arial" w:cs="Arial"/>
          <w:sz w:val="22"/>
          <w:szCs w:val="22"/>
        </w:rPr>
      </w:pPr>
      <w:r>
        <w:rPr>
          <w:rFonts w:ascii="Arial" w:hAnsi="Arial" w:cs="Arial"/>
          <w:sz w:val="22"/>
          <w:szCs w:val="22"/>
        </w:rPr>
        <w:t>###</w:t>
      </w:r>
    </w:p>
    <w:sectPr w:rsidR="00A86200" w:rsidRPr="00942260" w:rsidSect="00BF48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7DEF" w14:textId="77777777" w:rsidR="00C07183" w:rsidRDefault="00C07183" w:rsidP="00942260">
      <w:pPr>
        <w:spacing w:after="0" w:line="240" w:lineRule="auto"/>
      </w:pPr>
      <w:r>
        <w:separator/>
      </w:r>
    </w:p>
  </w:endnote>
  <w:endnote w:type="continuationSeparator" w:id="0">
    <w:p w14:paraId="1B9A36AF" w14:textId="77777777" w:rsidR="00C07183" w:rsidRDefault="00C07183" w:rsidP="0094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D0F6" w14:textId="6BC0AAC3" w:rsidR="00942260" w:rsidRPr="00C47D7C" w:rsidRDefault="00942260" w:rsidP="00C47D7C">
    <w:pPr>
      <w:pStyle w:val="Footer"/>
      <w:jc w:val="right"/>
      <w:rPr>
        <w:sz w:val="20"/>
        <w:szCs w:val="20"/>
      </w:rPr>
    </w:pPr>
    <w:r w:rsidRPr="00C47D7C">
      <w:rPr>
        <w:sz w:val="20"/>
        <w:szCs w:val="20"/>
      </w:rPr>
      <w:t xml:space="preserve">Copyright © 2026 </w:t>
    </w:r>
    <w:r w:rsidR="0067683E">
      <w:rPr>
        <w:sz w:val="20"/>
        <w:szCs w:val="20"/>
      </w:rPr>
      <w:t>PROJECTeM,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B796" w14:textId="77777777" w:rsidR="00C07183" w:rsidRDefault="00C07183" w:rsidP="00942260">
      <w:pPr>
        <w:spacing w:after="0" w:line="240" w:lineRule="auto"/>
      </w:pPr>
      <w:r>
        <w:separator/>
      </w:r>
    </w:p>
  </w:footnote>
  <w:footnote w:type="continuationSeparator" w:id="0">
    <w:p w14:paraId="4EF3B60E" w14:textId="77777777" w:rsidR="00C07183" w:rsidRDefault="00C07183" w:rsidP="009422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60"/>
    <w:rsid w:val="006209EF"/>
    <w:rsid w:val="0067683E"/>
    <w:rsid w:val="00897FC3"/>
    <w:rsid w:val="00942260"/>
    <w:rsid w:val="009614C6"/>
    <w:rsid w:val="00A86200"/>
    <w:rsid w:val="00AF3098"/>
    <w:rsid w:val="00BF486C"/>
    <w:rsid w:val="00C07183"/>
    <w:rsid w:val="00C47D7C"/>
    <w:rsid w:val="00E1068A"/>
    <w:rsid w:val="00F3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D7F4ED"/>
  <w15:chartTrackingRefBased/>
  <w15:docId w15:val="{BB41F704-DAC7-A04A-AB62-3E94A1DB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260"/>
    <w:rPr>
      <w:rFonts w:eastAsiaTheme="majorEastAsia" w:cstheme="majorBidi"/>
      <w:color w:val="272727" w:themeColor="text1" w:themeTint="D8"/>
    </w:rPr>
  </w:style>
  <w:style w:type="paragraph" w:styleId="Title">
    <w:name w:val="Title"/>
    <w:basedOn w:val="Normal"/>
    <w:next w:val="Normal"/>
    <w:link w:val="TitleChar"/>
    <w:uiPriority w:val="10"/>
    <w:qFormat/>
    <w:rsid w:val="00942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260"/>
    <w:pPr>
      <w:spacing w:before="160"/>
      <w:jc w:val="center"/>
    </w:pPr>
    <w:rPr>
      <w:i/>
      <w:iCs/>
      <w:color w:val="404040" w:themeColor="text1" w:themeTint="BF"/>
    </w:rPr>
  </w:style>
  <w:style w:type="character" w:customStyle="1" w:styleId="QuoteChar">
    <w:name w:val="Quote Char"/>
    <w:basedOn w:val="DefaultParagraphFont"/>
    <w:link w:val="Quote"/>
    <w:uiPriority w:val="29"/>
    <w:rsid w:val="00942260"/>
    <w:rPr>
      <w:i/>
      <w:iCs/>
      <w:color w:val="404040" w:themeColor="text1" w:themeTint="BF"/>
    </w:rPr>
  </w:style>
  <w:style w:type="paragraph" w:styleId="ListParagraph">
    <w:name w:val="List Paragraph"/>
    <w:basedOn w:val="Normal"/>
    <w:uiPriority w:val="34"/>
    <w:qFormat/>
    <w:rsid w:val="00942260"/>
    <w:pPr>
      <w:ind w:left="720"/>
      <w:contextualSpacing/>
    </w:pPr>
  </w:style>
  <w:style w:type="character" w:styleId="IntenseEmphasis">
    <w:name w:val="Intense Emphasis"/>
    <w:basedOn w:val="DefaultParagraphFont"/>
    <w:uiPriority w:val="21"/>
    <w:qFormat/>
    <w:rsid w:val="00942260"/>
    <w:rPr>
      <w:i/>
      <w:iCs/>
      <w:color w:val="0F4761" w:themeColor="accent1" w:themeShade="BF"/>
    </w:rPr>
  </w:style>
  <w:style w:type="paragraph" w:styleId="IntenseQuote">
    <w:name w:val="Intense Quote"/>
    <w:basedOn w:val="Normal"/>
    <w:next w:val="Normal"/>
    <w:link w:val="IntenseQuoteChar"/>
    <w:uiPriority w:val="30"/>
    <w:qFormat/>
    <w:rsid w:val="00942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260"/>
    <w:rPr>
      <w:i/>
      <w:iCs/>
      <w:color w:val="0F4761" w:themeColor="accent1" w:themeShade="BF"/>
    </w:rPr>
  </w:style>
  <w:style w:type="character" w:styleId="IntenseReference">
    <w:name w:val="Intense Reference"/>
    <w:basedOn w:val="DefaultParagraphFont"/>
    <w:uiPriority w:val="32"/>
    <w:qFormat/>
    <w:rsid w:val="00942260"/>
    <w:rPr>
      <w:b/>
      <w:bCs/>
      <w:smallCaps/>
      <w:color w:val="0F4761" w:themeColor="accent1" w:themeShade="BF"/>
      <w:spacing w:val="5"/>
    </w:rPr>
  </w:style>
  <w:style w:type="paragraph" w:styleId="Header">
    <w:name w:val="header"/>
    <w:basedOn w:val="Normal"/>
    <w:link w:val="HeaderChar"/>
    <w:uiPriority w:val="99"/>
    <w:unhideWhenUsed/>
    <w:rsid w:val="00942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260"/>
  </w:style>
  <w:style w:type="paragraph" w:styleId="Footer">
    <w:name w:val="footer"/>
    <w:basedOn w:val="Normal"/>
    <w:link w:val="FooterChar"/>
    <w:uiPriority w:val="99"/>
    <w:unhideWhenUsed/>
    <w:rsid w:val="00942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GlobalMed</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Harris</dc:creator>
  <cp:keywords/>
  <dc:description/>
  <cp:lastModifiedBy>Mike Harris</cp:lastModifiedBy>
  <cp:revision>2</cp:revision>
  <dcterms:created xsi:type="dcterms:W3CDTF">2026-01-23T22:05:00Z</dcterms:created>
  <dcterms:modified xsi:type="dcterms:W3CDTF">2026-01-24T00:36:00Z</dcterms:modified>
</cp:coreProperties>
</file>